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登录界面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系统采用账号密码登录，账号与可访问范围由管理员统一分配，不开放自助注册，数据安全可控。页面支持图形验证码与「记住密码」，常用电脑免去重复输入；登录后可在个人中心修改密码，也可一键「锁定屏幕」，临时离开工位时保护当前会话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系统按角色分级授权：每个账号只看到自己权限内的功能菜单与数据范围（全部数据、本部门、本部门及以下或仅本人），越权内容不可见。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【此处请插入「登录界面」界面截图】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截图要点：完整登录页，含账号、密码、验证码、记住密码与登录按钮。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1　登录界面（待补充截图）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数据问答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像与人对话一样使用数据。用日常语言提问，系统实时作答，答案可以是统计结论、数据清单或文档要点，全程无需编写查询语句。每个结论都能点开「引用来源」，精确追溯到哪份材料的第几页、哪次查询的第几行，数据可信、可核、可复现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既支持挂载文档材料提问，也能在同一会话里连续追问；扫描件、图片同样能读懂。常用问题还可做成快捷标签，一点即问。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【此处请插入「数据问答」界面截图】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截图要点：完整问答页，含左侧对话列表与查询范围、右侧问答内容（含引用来源图标与统计标签）。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2　数据问答（待补充截图）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数据分析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提交一句分析要求，系统在后台自动完成取数、统计与解读：先给出通俗易懂的 AI 解读结论，再附上分组查询明细与可交互图表。图表可自由切换类型、维度与统计口径，点击图形元素即可下钻查看构成明细；地图支持省、市、区县逐级下钻。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结果可一键导出 PDF、Excel 或直接打印。任务异步执行，提交后可离开页面，稍后回来取结果即可。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【此处请插入「数据分析结果（AI 解读 + 图表）」界面截图】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截图要点：结果抽屉内容：含「AI 解读」结论、查询结果表格与图表视图（体现图表与导出按钮）。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3　数据分析（待补充截图）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线索挖掘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把数据表与文档材料一并交给 AI 阅读，自动抽取关键事件与人物、资金、企业等实体关系，生成可交互的关系图谱。连线按正常、可疑、异常分级着色，帮助快速锁定需要关注的对象；支持多种布局与图层视角切换，点击节点或连线即可查看详情与引用来源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扫描件、手写体识别不确定的位置会自动标记存疑，经人工核对修正后可长期复用。同时产出关键事件清单与 AI 研判结论，均可导出。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【此处请插入「线索挖掘结果（关系图谱）」界面截图】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截图要点：结果抽屉「知识图谱」页签：含工具条、图层页签、图例与图谱画布。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4　线索挖掘（待补充截图）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预设模板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把重复设置的「数据范围」与常用问题沉淀为模板，下次一键套用，不必反复勾选。四类模板各司其职：预设模板固定一批数据表与文档附件；快捷提问把常用问题变成问答页上的一键标签；事件提取模板定义要抽取哪些事件字段及口径；任务模板预置任务描述文本，提交任务时选中即可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模板由业务人员自行维护，口径统一，越用越顺。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【此处请插入「预设模板管理」界面截图】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截图要点：预设模板页签列表，或新增模板弹窗（含数据表范围与文档附件字段）。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5　预设模板（待补充截图）</w:t>
      </w:r>
    </w:p>
    <w:p>
      <w:r>
        <w:br w:type="page"/>
      </w:r>
    </w:p>
    <w:p>
      <w:pPr>
        <w:pStyle w:val="Heading1"/>
        <w:pBdr>
          <w:bottom w:val="single" w:color="1F4E79" w:sz="12" w:space="8"/>
        </w:pBdr>
        <w:spacing w:after="240" w:before="360"/>
      </w:pPr>
      <w:r>
        <w:rPr>
          <w:rFonts w:ascii="Microsoft YaHei" w:eastAsia="微软雅黑" w:hAnsi="Microsoft YaHei"/>
          <w:b/>
          <w:bCs/>
          <w:color w:val="1F4E79"/>
          <w:sz w:val="34"/>
          <w:szCs w:val="34"/>
        </w:rPr>
        <w:t xml:space="preserve">数据上传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系统的统一数据入口。上传 Excel 自动建表，立刻可被 AI 查询；上传 Word、PDF、图片等材料，系统自动识别文字并生成摘要。扫描件、拍照件、手写体由视觉模型识别，不确定处标注存疑并支持逐页人工核对修正，修正结果长期复用、多版本留存，并可追溯被哪些任务使用。</w:t>
      </w:r>
    </w:p>
    <w:p>
      <w:pPr>
        <w:spacing w:after="160" w:line="330"/>
        <w:jc w:val="both"/>
      </w:pPr>
      <w:r>
        <w:rPr>
          <w:rFonts w:ascii="Times New Roman" w:eastAsia="宋体" w:hAnsi="Times New Roman"/>
          <w:sz w:val="22"/>
          <w:szCs w:val="22"/>
        </w:rPr>
        <w:t xml:space="preserve">单个文件、批量文件或整个文件夹都能一次上传；材料可一键共享给他人，也可随时收回。</w:t>
      </w:r>
    </w:p>
    <w:tbl>
      <w:tblPr>
        <w:tblW w:type="dxa" w:w="9000"/>
        <w:tblBorders>
          <w:top w:val="dashed" w:color="BFBFBF" w:sz="6"/>
          <w:left w:val="dashed" w:color="BFBFBF" w:sz="6"/>
          <w:bottom w:val="dashed" w:color="BFBFBF" w:sz="6"/>
          <w:right w:val="dashed" w:color="BFBFBF" w:sz="6"/>
          <w:insideH w:val="dashed" w:color="BFBFBF" w:sz="6"/>
          <w:insideV w:val="dashed" w:color="BFBFBF" w:sz="6"/>
        </w:tblBorders>
      </w:tblPr>
      <w:tblGrid>
        <w:gridCol w:w="9000"/>
      </w:tblGrid>
      <w:tr>
        <w:trPr>
          <w:trHeight w:val="6600" w:hRule="atLeast"/>
        </w:trPr>
        <w:tc>
          <w:tcPr>
            <w:tcW w:type="dxa" w:w="9000"/>
            <w:shd w:fill="F2F2F2" w:color="auto" w:val="clear"/>
            <w:tcMar>
              <w:top w:type="dxa" w:w="160"/>
              <w:left w:type="dxa" w:w="240"/>
              <w:bottom w:type="dxa" w:w="160"/>
              <w:right w:type="dxa" w:w="240"/>
            </w:tcMar>
            <w:vAlign w:val="center"/>
          </w:tcPr>
          <w:p>
            <w:pPr>
              <w:spacing w:after="180"/>
              <w:jc w:val="center"/>
            </w:pPr>
            <w:r>
              <w:rPr>
                <w:rFonts w:ascii="Microsoft YaHei" w:eastAsia="微软雅黑" w:hAnsi="Microsoft YaHei"/>
                <w:b/>
                <w:bCs/>
                <w:color w:val="808080"/>
                <w:sz w:val="26"/>
                <w:szCs w:val="26"/>
              </w:rPr>
              <w:t xml:space="preserve">【此处请插入「数据上传与识别复核」界面截图】</w:t>
            </w:r>
          </w:p>
          <w:p>
            <w:pPr>
              <w:jc w:val="center"/>
            </w:pPr>
            <w:r>
              <w:rPr>
                <w:rFonts w:ascii="Times New Roman" w:eastAsia="宋体" w:hAnsi="Times New Roman"/>
                <w:color w:val="808080"/>
                <w:sz w:val="19"/>
                <w:szCs w:val="19"/>
              </w:rPr>
              <w:t xml:space="preserve">截图要点：材料列表（含识别结果、存疑、摘要列）或识别结果窗口（识别文本 + 存疑标记）。</w:t>
            </w:r>
          </w:p>
        </w:tc>
      </w:tr>
    </w:tbl>
    <w:p>
      <w:pPr>
        <w:spacing w:after="0" w:before="100"/>
        <w:jc w:val="center"/>
      </w:pPr>
      <w:r>
        <w:rPr>
          <w:rFonts w:ascii="Times New Roman" w:eastAsia="宋体" w:hAnsi="Times New Roman"/>
          <w:color w:val="808080"/>
          <w:sz w:val="19"/>
          <w:szCs w:val="19"/>
        </w:rPr>
        <w:t xml:space="preserve">图 6　数据上传（待补充截图）</w:t>
      </w:r>
    </w:p>
    <w:p>
      <w:pPr>
        <w:pStyle w:val="Heading1"/>
      </w:pPr>
      <w:r>
        <w:t>数据表配置</w:t>
      </w:r>
    </w:p>
    <w:p>
      <w:pPr/>
      <w:r>
        <w:t>管理 AI 能查询哪些数据表。只有被授权（加入白名单）的数据表，才会出现在数据问答、数据分析、线索挖掘的数据范围选择中；未被授权的表一律不可见、不可查。支持按表名、来源、上传人筛选，未配置白名单时 AI 无表可查，默认安全。</w:t>
      </w:r>
    </w:p>
    <w:p>
      <w:pPr/>
      <w:r>
        <w:t>图 7　数据表配置（待补充截图）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026"/>
      </w:tblGrid>
      <w:tr>
        <w:tc>
          <w:tcPr>
            <w:tcW w:type="dxa" w:w="9026"/>
          </w:tcPr>
          <w:p>
            <w:r>
              <w:t>【此处请插入「数据表配置」界面截图】</w:t>
            </w:r>
            <w:r>
              <w:br/>
            </w:r>
            <w:r>
              <w:t>截图要点：完整页面，体现主要功能与操作入口。</w:t>
            </w:r>
          </w:p>
        </w:tc>
      </w:tr>
    </w:tbl>
    <w:p>
      <w:pPr>
        <w:pStyle w:val="Heading1"/>
      </w:pPr>
      <w:r>
        <w:t>可视化大屏</w:t>
      </w:r>
    </w:p>
    <w:p>
      <w:pPr/>
      <w:r>
        <w:t>把线索挖掘态势投到大屏上集中展示，按「态势总览 / 地域作战 / 任务台账」分页，关键 KPI 每页都带、切页不滚动；地图支持省、市、区县逐级下钻，适合会议汇报与指挥调度。</w:t>
      </w:r>
    </w:p>
    <w:p>
      <w:pPr/>
      <w:r>
        <w:t>图 8　线索挖掘态势大屏（待补充截图）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026"/>
      </w:tblGrid>
      <w:tr>
        <w:tc>
          <w:tcPr>
            <w:tcW w:type="dxa" w:w="9026"/>
          </w:tcPr>
          <w:p>
            <w:r>
              <w:t>【此处请插入「线索挖掘态势大屏」界面截图】</w:t>
            </w:r>
            <w:r>
              <w:br/>
            </w:r>
            <w:r>
              <w:t>截图要点：完整页面，体现主要功能与操作入口。</w:t>
            </w:r>
          </w:p>
        </w:tc>
      </w:tr>
    </w:tbl>
    <w:p>
      <w:pPr>
        <w:pStyle w:val="Heading1"/>
      </w:pPr>
      <w:r>
        <w:t>AI 能力底座</w:t>
      </w:r>
    </w:p>
    <w:p>
      <w:pPr/>
      <w:r>
        <w:t>系统所有 AI 能力的统一管理入口：模型提供方、场景提示词、Agent 工具 / 技能、MCP 服务、对外能力一站式配置，新增 AI 应用即插即用、复用底座不重复造轮子。</w:t>
      </w:r>
    </w:p>
    <w:p>
      <w:pPr/>
      <w:r>
        <w:t>图 9　AI 能力底座（AI 管理）（待补充截图）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026"/>
      </w:tblGrid>
      <w:tr>
        <w:tc>
          <w:tcPr>
            <w:tcW w:type="dxa" w:w="9026"/>
          </w:tcPr>
          <w:p>
            <w:r>
              <w:t>【此处请插入「AI 能力底座（AI 管理）」界面截图】</w:t>
            </w:r>
            <w:r>
              <w:br/>
            </w:r>
            <w:r>
              <w:t>截图要点：完整页面，体现主要功能与操作入口。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eastAsia="宋体" w:hAnsi="Times New Roman"/>
        <w:color w:val="808080"/>
        <w:sz w:val="18"/>
        <w:szCs w:val="18"/>
      </w:rPr>
      <w:t xml:space="preserve">第 </w:t>
    </w:r>
    <w:r>
      <w:rPr>
        <w:rFonts w:ascii="Times New Roman" w:eastAsia="宋体" w:hAnsi="Times New Roman"/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eastAsia="宋体" w:hAnsi="Times New Roman"/>
        <w:color w:val="808080"/>
        <w:sz w:val="18"/>
        <w:szCs w:val="18"/>
      </w:rPr>
      <w:t xml:space="preserve"> 页 / 共 </w:t>
    </w:r>
    <w:r>
      <w:rPr>
        <w:rFonts w:ascii="Times New Roman" w:eastAsia="宋体" w:hAnsi="Times New Roman"/>
        <w:color w:val="808080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eastAsia="宋体" w:hAnsi="Times New Roman"/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BFBF" w:sz="4" w:space="4"/>
      </w:pBdr>
      <w:jc w:val="center"/>
    </w:pPr>
    <w:r>
      <w:rPr>
        <w:rFonts w:ascii="Times New Roman" w:eastAsia="宋体" w:hAnsi="Times New Roman"/>
        <w:color w:val="808080"/>
        <w:sz w:val="18"/>
        <w:szCs w:val="18"/>
      </w:rPr>
      <w:t xml:space="preserve">数据洞察系统 功能说明书（简版）　|　2026 年 10 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/>
        <w:color w:val="000000"/>
        <w:sz w:val="21"/>
        <w:szCs w:val="21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数据洞察系统 功能说明书（简版）</dc:title>
  <dc:creator>数据洞察系统</dc:creator>
  <dc:description>数据洞察系统 功能说明书（简版）</dc:description>
  <cp:lastModifiedBy>Un-named</cp:lastModifiedBy>
  <cp:revision>1</cp:revision>
  <dcterms:created xsi:type="dcterms:W3CDTF">2026-10-10T09:15:25.244Z</dcterms:created>
  <dcterms:modified xsi:type="dcterms:W3CDTF">2026-10-10T09:15:25.248Z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